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92777" w14:textId="77777777" w:rsidR="009D4CF7" w:rsidRDefault="006F1A0E">
      <w:pPr>
        <w:spacing w:before="1600"/>
        <w:jc w:val="center"/>
      </w:pPr>
      <w:r>
        <w:rPr>
          <w:b/>
          <w:bCs/>
          <w:color w:val="C89B3C"/>
          <w:sz w:val="40"/>
          <w:szCs w:val="40"/>
        </w:rPr>
        <w:t>EWINGS</w:t>
      </w:r>
      <w:r>
        <w:rPr>
          <w:b/>
          <w:bCs/>
          <w:color w:val="0A1628"/>
          <w:sz w:val="40"/>
          <w:szCs w:val="40"/>
        </w:rPr>
        <w:t xml:space="preserve"> CONSULTANCY SERVICES</w:t>
      </w:r>
    </w:p>
    <w:p w14:paraId="01792778" w14:textId="77777777" w:rsidR="009D4CF7" w:rsidRDefault="006F1A0E">
      <w:pPr>
        <w:spacing w:before="200" w:after="100"/>
        <w:jc w:val="center"/>
      </w:pPr>
      <w:r>
        <w:rPr>
          <w:i/>
          <w:iCs/>
          <w:color w:val="4A5568"/>
          <w:sz w:val="20"/>
          <w:szCs w:val="20"/>
        </w:rPr>
        <w:t>Independent. Expert. Trusted.</w:t>
      </w:r>
    </w:p>
    <w:p w14:paraId="01792779" w14:textId="77777777" w:rsidR="009D4CF7" w:rsidRDefault="009D4CF7">
      <w:pPr>
        <w:pBdr>
          <w:bottom w:val="single" w:sz="6" w:space="8" w:color="C89B3C"/>
        </w:pBdr>
        <w:spacing w:after="600"/>
      </w:pPr>
    </w:p>
    <w:p w14:paraId="0179277A" w14:textId="77777777" w:rsidR="009D4CF7" w:rsidRDefault="006F1A0E">
      <w:pPr>
        <w:spacing w:before="1200" w:after="200"/>
        <w:jc w:val="center"/>
      </w:pPr>
      <w:r>
        <w:rPr>
          <w:b/>
          <w:bCs/>
          <w:color w:val="0A1628"/>
          <w:sz w:val="40"/>
          <w:szCs w:val="40"/>
        </w:rPr>
        <w:t>Crowd Management &amp;</w:t>
      </w:r>
    </w:p>
    <w:p w14:paraId="0179277B" w14:textId="77777777" w:rsidR="009D4CF7" w:rsidRDefault="006F1A0E">
      <w:pPr>
        <w:spacing w:after="200"/>
        <w:jc w:val="center"/>
      </w:pPr>
      <w:r>
        <w:rPr>
          <w:b/>
          <w:bCs/>
          <w:color w:val="0A1628"/>
          <w:sz w:val="40"/>
          <w:szCs w:val="40"/>
        </w:rPr>
        <w:t>Capacity Calculation Template</w:t>
      </w:r>
    </w:p>
    <w:p w14:paraId="0179277C" w14:textId="77777777" w:rsidR="009D4CF7" w:rsidRDefault="006F1A0E">
      <w:pPr>
        <w:spacing w:before="400" w:after="800"/>
        <w:jc w:val="center"/>
      </w:pPr>
      <w:r>
        <w:rPr>
          <w:b/>
          <w:bCs/>
          <w:color w:val="C89B3C"/>
          <w:sz w:val="28"/>
          <w:szCs w:val="28"/>
        </w:rPr>
        <w:t>A Comprehensive Methodology</w:t>
      </w:r>
    </w:p>
    <w:p w14:paraId="0179277D" w14:textId="77777777" w:rsidR="009D4CF7" w:rsidRDefault="006F1A0E">
      <w:pPr>
        <w:spacing w:after="200"/>
        <w:jc w:val="center"/>
      </w:pPr>
      <w:r>
        <w:rPr>
          <w:i/>
          <w:iCs/>
          <w:color w:val="4A5568"/>
        </w:rPr>
        <w:t>A comprehensive framework to calculate safe capacity, plan ingress and egress, and set monitoring thresholds for your event — with worked examples throughout.</w:t>
      </w:r>
    </w:p>
    <w:p w14:paraId="0179277E" w14:textId="77777777" w:rsidR="009D4CF7" w:rsidRDefault="006F1A0E">
      <w:r>
        <w:br w:type="page"/>
      </w:r>
    </w:p>
    <w:p w14:paraId="0179277F" w14:textId="77777777" w:rsidR="009D4CF7" w:rsidRDefault="006F1A0E">
      <w:pPr>
        <w:pStyle w:val="Heading1"/>
        <w:spacing w:after="160"/>
      </w:pPr>
      <w:r>
        <w:rPr>
          <w:b/>
          <w:bCs/>
          <w:color w:val="0A1628"/>
        </w:rPr>
        <w:lastRenderedPageBreak/>
        <w:t>How to Use This Framework</w:t>
      </w:r>
    </w:p>
    <w:p w14:paraId="01792780" w14:textId="77777777" w:rsidR="009D4CF7" w:rsidRDefault="006F1A0E">
      <w:pPr>
        <w:spacing w:after="160"/>
      </w:pPr>
      <w:r>
        <w:t>This document is a structured framework, not a substitute for a qualified crowd safety assessment or your local licensing authority's requirements. Capacity figures are often inherited from a previous event, a venue's historical licence, or a rough estimate — rather than actually calculated against the site as it exists today. This framework exists to help you build a defensible figure from first principles, so you can explain and justify it if challenged by a licensing authority, insurer, or investigator.</w:t>
      </w:r>
    </w:p>
    <w:p w14:paraId="01792781" w14:textId="77777777" w:rsidR="009D4CF7" w:rsidRDefault="006F1A0E">
      <w:pPr>
        <w:spacing w:after="160"/>
      </w:pPr>
      <w:r>
        <w:t>Each section explains what to calculate and why it matters, with worked examples showing the methodology applied to a real scenario. Density figures, flow rates, and evacuation time targets vary by jurisdiction and local guidance — treat every example as a starting point for your own calculation, not a figure to copy directly into a licence submission.</w:t>
      </w:r>
    </w:p>
    <w:p w14:paraId="01792782" w14:textId="77777777" w:rsidR="009D4CF7" w:rsidRDefault="006F1A0E">
      <w:pPr>
        <w:spacing w:after="160"/>
      </w:pPr>
      <w:r>
        <w:t>Need this calculated, reviewed, or defended to a licensing authority for your specific venue rather than worked through yourself? Contact us to discuss on-site or online consultancy support.</w:t>
      </w:r>
    </w:p>
    <w:p w14:paraId="3F91E7FA" w14:textId="77777777" w:rsidR="008C617B" w:rsidRDefault="008C617B">
      <w:pPr>
        <w:rPr>
          <w:b/>
          <w:bCs/>
          <w:color w:val="0A1628"/>
          <w:sz w:val="32"/>
          <w:szCs w:val="32"/>
        </w:rPr>
      </w:pPr>
      <w:r>
        <w:rPr>
          <w:b/>
          <w:bCs/>
          <w:color w:val="0A1628"/>
        </w:rPr>
        <w:br w:type="page"/>
      </w:r>
    </w:p>
    <w:p w14:paraId="01792783" w14:textId="36D90B43" w:rsidR="009D4CF7" w:rsidRDefault="006F1A0E">
      <w:pPr>
        <w:pStyle w:val="Heading1"/>
        <w:spacing w:before="400" w:after="160"/>
      </w:pPr>
      <w:r>
        <w:rPr>
          <w:b/>
          <w:bCs/>
          <w:color w:val="0A1628"/>
        </w:rPr>
        <w:lastRenderedPageBreak/>
        <w:t>Section 1 — Purpose &amp; Scope</w:t>
      </w:r>
    </w:p>
    <w:p w14:paraId="01792784" w14:textId="77777777" w:rsidR="009D4CF7" w:rsidRDefault="006F1A0E">
      <w:pPr>
        <w:spacing w:after="160"/>
      </w:pPr>
      <w:r>
        <w:t xml:space="preserve">Capacity is not a single number applied to a whole site — it's the lowest safe figure produced by every constraint on that site, including the areas people move through, not just the areas they stand in. A venue with plenty of standing room but only one narrow exit does not have a high safe capacity, regardless of how much floor space is available. Define what this calculation covers before you </w:t>
      </w:r>
      <w:proofErr w:type="gramStart"/>
      <w:r>
        <w:t>start, and</w:t>
      </w:r>
      <w:proofErr w:type="gramEnd"/>
      <w:r>
        <w:t xml:space="preserve"> be specific about which areas are included.</w:t>
      </w:r>
    </w:p>
    <w:p w14:paraId="01792785" w14:textId="77777777" w:rsidR="009D4CF7" w:rsidRDefault="006F1A0E">
      <w:pPr>
        <w:pStyle w:val="Heading2"/>
        <w:spacing w:before="220" w:after="100"/>
      </w:pPr>
      <w:r>
        <w:rPr>
          <w:b/>
          <w:bCs/>
          <w:color w:val="4A5568"/>
        </w:rPr>
        <w:t>Include:</w:t>
      </w:r>
    </w:p>
    <w:p w14:paraId="01792786" w14:textId="77777777" w:rsidR="009D4CF7" w:rsidRDefault="006F1A0E">
      <w:pPr>
        <w:pStyle w:val="ListParagraph"/>
        <w:numPr>
          <w:ilvl w:val="0"/>
          <w:numId w:val="2"/>
        </w:numPr>
        <w:spacing w:after="100"/>
      </w:pPr>
      <w:r>
        <w:t>The specific area(s) being assessed — main arena, standing areas, seated stands, concourses, entry/exit routes.</w:t>
      </w:r>
    </w:p>
    <w:p w14:paraId="01792787" w14:textId="77777777" w:rsidR="009D4CF7" w:rsidRDefault="006F1A0E">
      <w:pPr>
        <w:pStyle w:val="ListParagraph"/>
        <w:numPr>
          <w:ilvl w:val="0"/>
          <w:numId w:val="2"/>
        </w:numPr>
        <w:spacing w:after="100"/>
      </w:pPr>
      <w:r>
        <w:t>Event type and audience profile (seated, standing, mixed, family, high-density touring/festival crowd) — audience behaviour differs substantially by profile, and this affects both density assumptions and flow calculations.</w:t>
      </w:r>
    </w:p>
    <w:p w14:paraId="01792788" w14:textId="77777777" w:rsidR="009D4CF7" w:rsidRDefault="006F1A0E">
      <w:pPr>
        <w:pStyle w:val="ListParagraph"/>
        <w:numPr>
          <w:ilvl w:val="0"/>
          <w:numId w:val="2"/>
        </w:numPr>
        <w:spacing w:after="100"/>
      </w:pPr>
      <w:r>
        <w:t>Duration and pattern of occupancy — single arrival peak vs. rolling attendance, since a venue with a single hard opening time faces a very different ingress challenge to one with staggered entry.</w:t>
      </w:r>
    </w:p>
    <w:p w14:paraId="01792789" w14:textId="77777777" w:rsidR="009D4CF7" w:rsidRDefault="006F1A0E">
      <w:pPr>
        <w:pStyle w:val="ListParagraph"/>
        <w:numPr>
          <w:ilvl w:val="0"/>
          <w:numId w:val="2"/>
        </w:numPr>
        <w:spacing w:after="100"/>
      </w:pPr>
      <w:r>
        <w:t>Whether this is a new capacity calculation or a review of an existing licensed capacity — if reviewing an existing figure, document what has changed on-site since it was last calculated.</w:t>
      </w:r>
    </w:p>
    <w:p w14:paraId="0179278A" w14:textId="77777777" w:rsidR="009D4CF7" w:rsidRDefault="006F1A0E">
      <w:pPr>
        <w:pBdr>
          <w:left w:val="single" w:sz="12" w:space="8" w:color="C89B3C"/>
        </w:pBdr>
        <w:shd w:val="clear" w:color="auto" w:fill="F7F8FA"/>
        <w:spacing w:before="120" w:after="200"/>
      </w:pPr>
      <w:r>
        <w:rPr>
          <w:b/>
          <w:bCs/>
          <w:i/>
          <w:iCs/>
          <w:color w:val="0A1628"/>
          <w:sz w:val="20"/>
          <w:szCs w:val="20"/>
        </w:rPr>
        <w:t xml:space="preserve">Worked Example: </w:t>
      </w:r>
      <w:r>
        <w:rPr>
          <w:i/>
          <w:iCs/>
          <w:color w:val="4A5568"/>
          <w:sz w:val="20"/>
          <w:szCs w:val="20"/>
        </w:rPr>
        <w:t>A venue's licensed capacity of 2,000 had been carried over unchanged for several years, despite the installation of a new merchandise stand that reduced usable floor area in the main concourse. A fresh capacity calculation, accounting for the stand as a permanent obstruction, revealed the true safe figure was closer to 1,750 — a gap that would only have been discovered during an incident investigation had it not been proactively reviewed.</w:t>
      </w:r>
    </w:p>
    <w:p w14:paraId="6B055AFE" w14:textId="77777777" w:rsidR="008C617B" w:rsidRDefault="008C617B">
      <w:pPr>
        <w:rPr>
          <w:b/>
          <w:bCs/>
          <w:color w:val="0A1628"/>
          <w:sz w:val="32"/>
          <w:szCs w:val="32"/>
        </w:rPr>
      </w:pPr>
      <w:r>
        <w:rPr>
          <w:b/>
          <w:bCs/>
          <w:color w:val="0A1628"/>
        </w:rPr>
        <w:br w:type="page"/>
      </w:r>
    </w:p>
    <w:p w14:paraId="0179278B" w14:textId="5B7D251B" w:rsidR="009D4CF7" w:rsidRDefault="006F1A0E">
      <w:pPr>
        <w:pStyle w:val="Heading1"/>
        <w:spacing w:before="400" w:after="160"/>
      </w:pPr>
      <w:r>
        <w:rPr>
          <w:b/>
          <w:bCs/>
          <w:color w:val="0A1628"/>
        </w:rPr>
        <w:lastRenderedPageBreak/>
        <w:t>Section 2 — Site &amp; Area Assessment</w:t>
      </w:r>
    </w:p>
    <w:p w14:paraId="0179278C" w14:textId="77777777" w:rsidR="009D4CF7" w:rsidRDefault="006F1A0E">
      <w:pPr>
        <w:spacing w:after="160"/>
      </w:pPr>
      <w:r>
        <w:t>Before calculating numbers, map every physical constraint that will affect safe capacity. This is the stage most commonly rushed, because it involves physically walking and measuring the site rather than working from a floor plan alone — floor plans frequently don't reflect temporary structures, storage, or seasonal changes to a venue.</w:t>
      </w:r>
    </w:p>
    <w:p w14:paraId="0179278D" w14:textId="77777777" w:rsidR="009D4CF7" w:rsidRDefault="006F1A0E">
      <w:pPr>
        <w:pStyle w:val="ListParagraph"/>
        <w:numPr>
          <w:ilvl w:val="0"/>
          <w:numId w:val="2"/>
        </w:numPr>
        <w:spacing w:after="100"/>
      </w:pPr>
      <w:r>
        <w:t>Usable area measurements, with permanent obstructions (structures, bars, sound desks, merchandise stands) subtracted from the gross area.</w:t>
      </w:r>
    </w:p>
    <w:p w14:paraId="0179278E" w14:textId="77777777" w:rsidR="009D4CF7" w:rsidRDefault="006F1A0E">
      <w:pPr>
        <w:pStyle w:val="ListParagraph"/>
        <w:numPr>
          <w:ilvl w:val="0"/>
          <w:numId w:val="2"/>
        </w:numPr>
        <w:spacing w:after="100"/>
      </w:pPr>
      <w:r>
        <w:t>Sightline and viewing considerations that may cause crowd surge or uneven distribution — crowds naturally cluster toward better sightlines, which can create localised density well above the site-wide average.</w:t>
      </w:r>
    </w:p>
    <w:p w14:paraId="0179278F" w14:textId="77777777" w:rsidR="009D4CF7" w:rsidRDefault="006F1A0E">
      <w:pPr>
        <w:pStyle w:val="ListParagraph"/>
        <w:numPr>
          <w:ilvl w:val="0"/>
          <w:numId w:val="2"/>
        </w:numPr>
        <w:spacing w:after="100"/>
      </w:pPr>
      <w:r>
        <w:t>Number, width, and location of entry and exit points.</w:t>
      </w:r>
    </w:p>
    <w:p w14:paraId="01792790" w14:textId="77777777" w:rsidR="009D4CF7" w:rsidRDefault="006F1A0E">
      <w:pPr>
        <w:pStyle w:val="ListParagraph"/>
        <w:numPr>
          <w:ilvl w:val="0"/>
          <w:numId w:val="2"/>
        </w:numPr>
        <w:spacing w:after="100"/>
      </w:pPr>
      <w:r>
        <w:t>Emergency egress routes and their independent capacity, separate from normal ingress/egress routes — a route used for both normal and emergency egress needs to be assessed against the higher of the two demands.</w:t>
      </w:r>
    </w:p>
    <w:p w14:paraId="01792791" w14:textId="77777777" w:rsidR="009D4CF7" w:rsidRDefault="006F1A0E">
      <w:pPr>
        <w:pStyle w:val="ListParagraph"/>
        <w:numPr>
          <w:ilvl w:val="0"/>
          <w:numId w:val="2"/>
        </w:numPr>
        <w:spacing w:after="100"/>
      </w:pPr>
      <w:r>
        <w:t>Terrain and surface factors (slopes, steps, uneven ground) that reduce effective flow rate — flow rate assumptions calculated on flat ground do not hold on a sloped or stepped route.</w:t>
      </w:r>
    </w:p>
    <w:p w14:paraId="01792792" w14:textId="77777777" w:rsidR="009D4CF7" w:rsidRDefault="006F1A0E">
      <w:pPr>
        <w:pBdr>
          <w:left w:val="single" w:sz="12" w:space="8" w:color="C89B3C"/>
        </w:pBdr>
        <w:shd w:val="clear" w:color="auto" w:fill="F7F8FA"/>
        <w:spacing w:before="120" w:after="200"/>
      </w:pPr>
      <w:r>
        <w:rPr>
          <w:b/>
          <w:bCs/>
          <w:i/>
          <w:iCs/>
          <w:color w:val="0A1628"/>
          <w:sz w:val="20"/>
          <w:szCs w:val="20"/>
        </w:rPr>
        <w:t xml:space="preserve">Worked Example: </w:t>
      </w:r>
      <w:r>
        <w:rPr>
          <w:i/>
          <w:iCs/>
          <w:color w:val="4A5568"/>
          <w:sz w:val="20"/>
          <w:szCs w:val="20"/>
        </w:rPr>
        <w:t>A site assessment for an outdoor festival identified that the main sightline toward the stage caused significant crowd clustering in front of a sound desk platform, effectively reducing the usable width of a key thoroughfare by nearly half during peak performance times. The site plan was adjusted to reroute the desk, restoring the full width of the route.</w:t>
      </w:r>
    </w:p>
    <w:p w14:paraId="2DCC20DF" w14:textId="77777777" w:rsidR="008C617B" w:rsidRDefault="008C617B">
      <w:pPr>
        <w:rPr>
          <w:b/>
          <w:bCs/>
          <w:color w:val="0A1628"/>
          <w:sz w:val="32"/>
          <w:szCs w:val="32"/>
        </w:rPr>
      </w:pPr>
      <w:r>
        <w:rPr>
          <w:b/>
          <w:bCs/>
          <w:color w:val="0A1628"/>
        </w:rPr>
        <w:br w:type="page"/>
      </w:r>
    </w:p>
    <w:p w14:paraId="01792793" w14:textId="4780A87A" w:rsidR="009D4CF7" w:rsidRDefault="006F1A0E">
      <w:pPr>
        <w:pStyle w:val="Heading1"/>
        <w:spacing w:before="400" w:after="160"/>
      </w:pPr>
      <w:r>
        <w:rPr>
          <w:b/>
          <w:bCs/>
          <w:color w:val="0A1628"/>
        </w:rPr>
        <w:lastRenderedPageBreak/>
        <w:t>Section 3 — Capacity Calculation Methodology</w:t>
      </w:r>
    </w:p>
    <w:p w14:paraId="01792794" w14:textId="77777777" w:rsidR="009D4CF7" w:rsidRDefault="006F1A0E">
      <w:pPr>
        <w:spacing w:after="160"/>
      </w:pPr>
      <w:r>
        <w:t>The most widely used approach is a density-based calculation: usable area divided by a density factor appropriate to the crowd type and activity level. Lower density figures (more space per person) apply to higher-risk or lower-mobility crowds. Understanding why the density figure changes by crowd type — not just memorising the numbers — is what lets you defend a figure that falls outside a standard table.</w:t>
      </w:r>
    </w:p>
    <w:p w14:paraId="01792795" w14:textId="77777777" w:rsidR="009D4CF7" w:rsidRDefault="006F1A0E">
      <w:pPr>
        <w:pStyle w:val="Heading2"/>
        <w:spacing w:before="220" w:after="100"/>
      </w:pPr>
      <w:r>
        <w:rPr>
          <w:b/>
          <w:bCs/>
          <w:color w:val="4A5568"/>
        </w:rPr>
        <w:t>Example density bands — adapt to your event's actual risk assessment and local licensing requirements: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2900"/>
        <w:gridCol w:w="3260"/>
      </w:tblGrid>
      <w:tr w:rsidR="009D4CF7" w14:paraId="01792799" w14:textId="77777777">
        <w:tblPrEx>
          <w:tblCellMar>
            <w:top w:w="0" w:type="dxa"/>
            <w:bottom w:w="0" w:type="dxa"/>
          </w:tblCellMar>
        </w:tblPrEx>
        <w:trPr>
          <w:tblHeader/>
        </w:trPr>
        <w:tc>
          <w:tcPr>
            <w:tcW w:w="3200" w:type="dxa"/>
            <w:shd w:val="clear" w:color="auto" w:fill="0A1628"/>
            <w:tcMar>
              <w:top w:w="80" w:type="dxa"/>
              <w:left w:w="100" w:type="dxa"/>
              <w:bottom w:w="80" w:type="dxa"/>
              <w:right w:w="100" w:type="dxa"/>
            </w:tcMar>
          </w:tcPr>
          <w:p w14:paraId="01792796" w14:textId="77777777" w:rsidR="009D4CF7" w:rsidRDefault="006F1A0E">
            <w:r>
              <w:rPr>
                <w:b/>
                <w:bCs/>
                <w:color w:val="FFFFFF"/>
                <w:sz w:val="19"/>
                <w:szCs w:val="19"/>
              </w:rPr>
              <w:t>Area Type</w:t>
            </w:r>
          </w:p>
        </w:tc>
        <w:tc>
          <w:tcPr>
            <w:tcW w:w="2900" w:type="dxa"/>
            <w:shd w:val="clear" w:color="auto" w:fill="0A1628"/>
            <w:tcMar>
              <w:top w:w="80" w:type="dxa"/>
              <w:left w:w="100" w:type="dxa"/>
              <w:bottom w:w="80" w:type="dxa"/>
              <w:right w:w="100" w:type="dxa"/>
            </w:tcMar>
          </w:tcPr>
          <w:p w14:paraId="01792797" w14:textId="77777777" w:rsidR="009D4CF7" w:rsidRDefault="006F1A0E">
            <w:r>
              <w:rPr>
                <w:b/>
                <w:bCs/>
                <w:color w:val="FFFFFF"/>
                <w:sz w:val="19"/>
                <w:szCs w:val="19"/>
              </w:rPr>
              <w:t>Example Density</w:t>
            </w:r>
          </w:p>
        </w:tc>
        <w:tc>
          <w:tcPr>
            <w:tcW w:w="3260" w:type="dxa"/>
            <w:shd w:val="clear" w:color="auto" w:fill="0A1628"/>
            <w:tcMar>
              <w:top w:w="80" w:type="dxa"/>
              <w:left w:w="100" w:type="dxa"/>
              <w:bottom w:w="80" w:type="dxa"/>
              <w:right w:w="100" w:type="dxa"/>
            </w:tcMar>
          </w:tcPr>
          <w:p w14:paraId="01792798" w14:textId="77777777" w:rsidR="009D4CF7" w:rsidRDefault="006F1A0E">
            <w:r>
              <w:rPr>
                <w:b/>
                <w:bCs/>
                <w:color w:val="FFFFFF"/>
                <w:sz w:val="19"/>
                <w:szCs w:val="19"/>
              </w:rPr>
              <w:t>Notes</w:t>
            </w:r>
          </w:p>
        </w:tc>
      </w:tr>
      <w:tr w:rsidR="009D4CF7" w14:paraId="0179279D" w14:textId="77777777">
        <w:tblPrEx>
          <w:tblCellMar>
            <w:top w:w="0" w:type="dxa"/>
            <w:bottom w:w="0" w:type="dxa"/>
          </w:tblCellMar>
        </w:tblPrEx>
        <w:tc>
          <w:tcPr>
            <w:tcW w:w="3200" w:type="dxa"/>
            <w:tcMar>
              <w:top w:w="80" w:type="dxa"/>
              <w:left w:w="100" w:type="dxa"/>
              <w:bottom w:w="80" w:type="dxa"/>
              <w:right w:w="100" w:type="dxa"/>
            </w:tcMar>
          </w:tcPr>
          <w:p w14:paraId="0179279A" w14:textId="77777777" w:rsidR="009D4CF7" w:rsidRDefault="006F1A0E">
            <w:r>
              <w:rPr>
                <w:sz w:val="19"/>
                <w:szCs w:val="19"/>
              </w:rPr>
              <w:t>Seated (fixed seating)</w:t>
            </w:r>
          </w:p>
        </w:tc>
        <w:tc>
          <w:tcPr>
            <w:tcW w:w="2900" w:type="dxa"/>
            <w:tcMar>
              <w:top w:w="80" w:type="dxa"/>
              <w:left w:w="100" w:type="dxa"/>
              <w:bottom w:w="80" w:type="dxa"/>
              <w:right w:w="100" w:type="dxa"/>
            </w:tcMar>
          </w:tcPr>
          <w:p w14:paraId="0179279B" w14:textId="77777777" w:rsidR="009D4CF7" w:rsidRDefault="006F1A0E">
            <w:r>
              <w:rPr>
                <w:sz w:val="19"/>
                <w:szCs w:val="19"/>
              </w:rPr>
              <w:t>1 person per seat</w:t>
            </w:r>
          </w:p>
        </w:tc>
        <w:tc>
          <w:tcPr>
            <w:tcW w:w="3260" w:type="dxa"/>
            <w:tcMar>
              <w:top w:w="80" w:type="dxa"/>
              <w:left w:w="100" w:type="dxa"/>
              <w:bottom w:w="80" w:type="dxa"/>
              <w:right w:w="100" w:type="dxa"/>
            </w:tcMar>
          </w:tcPr>
          <w:p w14:paraId="0179279C" w14:textId="77777777" w:rsidR="009D4CF7" w:rsidRDefault="006F1A0E">
            <w:r>
              <w:rPr>
                <w:sz w:val="19"/>
                <w:szCs w:val="19"/>
              </w:rPr>
              <w:t>Capacity fixed by seating plan, not density calculation</w:t>
            </w:r>
          </w:p>
        </w:tc>
      </w:tr>
      <w:tr w:rsidR="009D4CF7" w14:paraId="017927A1" w14:textId="77777777">
        <w:tblPrEx>
          <w:tblCellMar>
            <w:top w:w="0" w:type="dxa"/>
            <w:bottom w:w="0" w:type="dxa"/>
          </w:tblCellMar>
        </w:tblPrEx>
        <w:tc>
          <w:tcPr>
            <w:tcW w:w="3200" w:type="dxa"/>
            <w:tcMar>
              <w:top w:w="80" w:type="dxa"/>
              <w:left w:w="100" w:type="dxa"/>
              <w:bottom w:w="80" w:type="dxa"/>
              <w:right w:w="100" w:type="dxa"/>
            </w:tcMar>
          </w:tcPr>
          <w:p w14:paraId="0179279E" w14:textId="77777777" w:rsidR="009D4CF7" w:rsidRDefault="006F1A0E">
            <w:r>
              <w:rPr>
                <w:sz w:val="19"/>
                <w:szCs w:val="19"/>
              </w:rPr>
              <w:t>Standing — low density (family/mixed audience)</w:t>
            </w:r>
          </w:p>
        </w:tc>
        <w:tc>
          <w:tcPr>
            <w:tcW w:w="2900" w:type="dxa"/>
            <w:tcMar>
              <w:top w:w="80" w:type="dxa"/>
              <w:left w:w="100" w:type="dxa"/>
              <w:bottom w:w="80" w:type="dxa"/>
              <w:right w:w="100" w:type="dxa"/>
            </w:tcMar>
          </w:tcPr>
          <w:p w14:paraId="0179279F" w14:textId="77777777" w:rsidR="009D4CF7" w:rsidRDefault="006F1A0E">
            <w:r>
              <w:rPr>
                <w:sz w:val="19"/>
                <w:szCs w:val="19"/>
              </w:rPr>
              <w:t>1 person per 1.0–2.0 m²</w:t>
            </w:r>
          </w:p>
        </w:tc>
        <w:tc>
          <w:tcPr>
            <w:tcW w:w="3260" w:type="dxa"/>
            <w:tcMar>
              <w:top w:w="80" w:type="dxa"/>
              <w:left w:w="100" w:type="dxa"/>
              <w:bottom w:w="80" w:type="dxa"/>
              <w:right w:w="100" w:type="dxa"/>
            </w:tcMar>
          </w:tcPr>
          <w:p w14:paraId="017927A0" w14:textId="77777777" w:rsidR="009D4CF7" w:rsidRDefault="006F1A0E">
            <w:r>
              <w:rPr>
                <w:sz w:val="19"/>
                <w:szCs w:val="19"/>
              </w:rPr>
              <w:t>Lower end used for higher-risk or lower-mobility crowds</w:t>
            </w:r>
          </w:p>
        </w:tc>
      </w:tr>
      <w:tr w:rsidR="009D4CF7" w14:paraId="017927A5" w14:textId="77777777">
        <w:tblPrEx>
          <w:tblCellMar>
            <w:top w:w="0" w:type="dxa"/>
            <w:bottom w:w="0" w:type="dxa"/>
          </w:tblCellMar>
        </w:tblPrEx>
        <w:tc>
          <w:tcPr>
            <w:tcW w:w="3200" w:type="dxa"/>
            <w:tcMar>
              <w:top w:w="80" w:type="dxa"/>
              <w:left w:w="100" w:type="dxa"/>
              <w:bottom w:w="80" w:type="dxa"/>
              <w:right w:w="100" w:type="dxa"/>
            </w:tcMar>
          </w:tcPr>
          <w:p w14:paraId="017927A2" w14:textId="77777777" w:rsidR="009D4CF7" w:rsidRDefault="006F1A0E">
            <w:r>
              <w:rPr>
                <w:sz w:val="19"/>
                <w:szCs w:val="19"/>
              </w:rPr>
              <w:t>Standing — high density (concert/festival front-of-stage)</w:t>
            </w:r>
          </w:p>
        </w:tc>
        <w:tc>
          <w:tcPr>
            <w:tcW w:w="2900" w:type="dxa"/>
            <w:tcMar>
              <w:top w:w="80" w:type="dxa"/>
              <w:left w:w="100" w:type="dxa"/>
              <w:bottom w:w="80" w:type="dxa"/>
              <w:right w:w="100" w:type="dxa"/>
            </w:tcMar>
          </w:tcPr>
          <w:p w14:paraId="017927A3" w14:textId="77777777" w:rsidR="009D4CF7" w:rsidRDefault="006F1A0E">
            <w:r>
              <w:rPr>
                <w:sz w:val="19"/>
                <w:szCs w:val="19"/>
              </w:rPr>
              <w:t>1 person per 0.4–0.6 m²</w:t>
            </w:r>
          </w:p>
        </w:tc>
        <w:tc>
          <w:tcPr>
            <w:tcW w:w="3260" w:type="dxa"/>
            <w:tcMar>
              <w:top w:w="80" w:type="dxa"/>
              <w:left w:w="100" w:type="dxa"/>
              <w:bottom w:w="80" w:type="dxa"/>
              <w:right w:w="100" w:type="dxa"/>
            </w:tcMar>
          </w:tcPr>
          <w:p w14:paraId="017927A4" w14:textId="77777777" w:rsidR="009D4CF7" w:rsidRDefault="006F1A0E">
            <w:r>
              <w:rPr>
                <w:sz w:val="19"/>
                <w:szCs w:val="19"/>
              </w:rPr>
              <w:t>Requires enhanced medical, welfare, and monitoring provision</w:t>
            </w:r>
          </w:p>
        </w:tc>
      </w:tr>
      <w:tr w:rsidR="009D4CF7" w14:paraId="017927A9" w14:textId="77777777">
        <w:tblPrEx>
          <w:tblCellMar>
            <w:top w:w="0" w:type="dxa"/>
            <w:bottom w:w="0" w:type="dxa"/>
          </w:tblCellMar>
        </w:tblPrEx>
        <w:tc>
          <w:tcPr>
            <w:tcW w:w="3200" w:type="dxa"/>
            <w:tcMar>
              <w:top w:w="80" w:type="dxa"/>
              <w:left w:w="100" w:type="dxa"/>
              <w:bottom w:w="80" w:type="dxa"/>
              <w:right w:w="100" w:type="dxa"/>
            </w:tcMar>
          </w:tcPr>
          <w:p w14:paraId="017927A6" w14:textId="77777777" w:rsidR="009D4CF7" w:rsidRDefault="006F1A0E">
            <w:r>
              <w:rPr>
                <w:sz w:val="19"/>
                <w:szCs w:val="19"/>
              </w:rPr>
              <w:t>Concourse / circulation areas</w:t>
            </w:r>
          </w:p>
        </w:tc>
        <w:tc>
          <w:tcPr>
            <w:tcW w:w="2900" w:type="dxa"/>
            <w:tcMar>
              <w:top w:w="80" w:type="dxa"/>
              <w:left w:w="100" w:type="dxa"/>
              <w:bottom w:w="80" w:type="dxa"/>
              <w:right w:w="100" w:type="dxa"/>
            </w:tcMar>
          </w:tcPr>
          <w:p w14:paraId="017927A7" w14:textId="77777777" w:rsidR="009D4CF7" w:rsidRDefault="006F1A0E">
            <w:r>
              <w:rPr>
                <w:sz w:val="19"/>
                <w:szCs w:val="19"/>
              </w:rPr>
              <w:t>1 person per 1.5–2.0 m²</w:t>
            </w:r>
          </w:p>
        </w:tc>
        <w:tc>
          <w:tcPr>
            <w:tcW w:w="3260" w:type="dxa"/>
            <w:tcMar>
              <w:top w:w="80" w:type="dxa"/>
              <w:left w:w="100" w:type="dxa"/>
              <w:bottom w:w="80" w:type="dxa"/>
              <w:right w:w="100" w:type="dxa"/>
            </w:tcMar>
          </w:tcPr>
          <w:p w14:paraId="017927A8" w14:textId="77777777" w:rsidR="009D4CF7" w:rsidRDefault="006F1A0E">
            <w:r>
              <w:rPr>
                <w:sz w:val="19"/>
                <w:szCs w:val="19"/>
              </w:rPr>
              <w:t>Must allow continuous movement, not static occupation</w:t>
            </w:r>
          </w:p>
        </w:tc>
      </w:tr>
    </w:tbl>
    <w:p w14:paraId="017927AA" w14:textId="77777777" w:rsidR="009D4CF7" w:rsidRDefault="009D4CF7">
      <w:pPr>
        <w:spacing w:after="160"/>
      </w:pPr>
    </w:p>
    <w:p w14:paraId="017927AB" w14:textId="77777777" w:rsidR="009D4CF7" w:rsidRDefault="006F1A0E">
      <w:pPr>
        <w:spacing w:after="160"/>
      </w:pPr>
      <w:r>
        <w:t>These figures are illustrative starting points drawn from widely used industry guidance and must be validated against your local licensing authority's requirements, which take precedence.</w:t>
      </w:r>
    </w:p>
    <w:p w14:paraId="017927AC" w14:textId="77777777" w:rsidR="009D4CF7" w:rsidRDefault="006F1A0E">
      <w:pPr>
        <w:pBdr>
          <w:left w:val="single" w:sz="12" w:space="8" w:color="C89B3C"/>
        </w:pBdr>
        <w:shd w:val="clear" w:color="auto" w:fill="F7F8FA"/>
        <w:spacing w:before="120" w:after="200"/>
      </w:pPr>
      <w:r>
        <w:rPr>
          <w:b/>
          <w:bCs/>
          <w:i/>
          <w:iCs/>
          <w:color w:val="0A1628"/>
          <w:sz w:val="20"/>
          <w:szCs w:val="20"/>
        </w:rPr>
        <w:t xml:space="preserve">Worked Example: </w:t>
      </w:r>
      <w:r>
        <w:rPr>
          <w:i/>
          <w:iCs/>
          <w:color w:val="4A5568"/>
          <w:sz w:val="20"/>
          <w:szCs w:val="20"/>
        </w:rPr>
        <w:t>A promoter initially applied the high-density front-of-stage figure (1 person per 0.5 m²) across the entire standing area of an outdoor site, including areas far from the stage where crowd density was naturally much lower. Recalculating using a tiered approach — high density near the stage, low density further back — produced a more accurate and slightly higher safe capacity figure, while also identifying that the front-of-stage zone needed additional barriers and welfare provision that the flat calculation</w:t>
      </w:r>
      <w:r>
        <w:rPr>
          <w:i/>
          <w:iCs/>
          <w:color w:val="4A5568"/>
          <w:sz w:val="20"/>
          <w:szCs w:val="20"/>
        </w:rPr>
        <w:t xml:space="preserve"> had missed.</w:t>
      </w:r>
    </w:p>
    <w:p w14:paraId="5DBDA19F" w14:textId="77777777" w:rsidR="008C617B" w:rsidRDefault="008C617B">
      <w:pPr>
        <w:rPr>
          <w:b/>
          <w:bCs/>
          <w:color w:val="0A1628"/>
          <w:sz w:val="32"/>
          <w:szCs w:val="32"/>
        </w:rPr>
      </w:pPr>
      <w:r>
        <w:rPr>
          <w:b/>
          <w:bCs/>
          <w:color w:val="0A1628"/>
        </w:rPr>
        <w:br w:type="page"/>
      </w:r>
    </w:p>
    <w:p w14:paraId="017927AD" w14:textId="0B15C89B" w:rsidR="009D4CF7" w:rsidRDefault="006F1A0E">
      <w:pPr>
        <w:pStyle w:val="Heading1"/>
        <w:spacing w:before="400" w:after="160"/>
      </w:pPr>
      <w:r>
        <w:rPr>
          <w:b/>
          <w:bCs/>
          <w:color w:val="0A1628"/>
        </w:rPr>
        <w:lastRenderedPageBreak/>
        <w:t>Section 4 — Ingress &amp; Egress Flow Calculations</w:t>
      </w:r>
    </w:p>
    <w:p w14:paraId="017927AE" w14:textId="77777777" w:rsidR="009D4CF7" w:rsidRDefault="006F1A0E">
      <w:pPr>
        <w:spacing w:after="160"/>
      </w:pPr>
      <w:r>
        <w:t>A site can have sufficient standing area but still be unsafe if people cannot enter or leave it fast enough. Flow capacity, not just standing capacity, determines the real safe limit — this is the calculation most often skipped by organisers who focus only on how many people fit inside the venue, not how quickly they can get out of it.</w:t>
      </w:r>
    </w:p>
    <w:p w14:paraId="017927AF" w14:textId="77777777" w:rsidR="009D4CF7" w:rsidRDefault="006F1A0E">
      <w:pPr>
        <w:pStyle w:val="ListParagraph"/>
        <w:numPr>
          <w:ilvl w:val="0"/>
          <w:numId w:val="2"/>
        </w:numPr>
        <w:spacing w:after="100"/>
      </w:pPr>
      <w:r>
        <w:t>Flow rate per metre of exit width per minute, applied to every exit route independently.</w:t>
      </w:r>
    </w:p>
    <w:p w14:paraId="017927B0" w14:textId="77777777" w:rsidR="009D4CF7" w:rsidRDefault="006F1A0E">
      <w:pPr>
        <w:pStyle w:val="ListParagraph"/>
        <w:numPr>
          <w:ilvl w:val="0"/>
          <w:numId w:val="2"/>
        </w:numPr>
        <w:spacing w:after="100"/>
      </w:pPr>
      <w:r>
        <w:t>Total emergency evacuation time target — commonly assessed against clearing the site within a defined number of minutes, per local guidance.</w:t>
      </w:r>
    </w:p>
    <w:p w14:paraId="017927B1" w14:textId="77777777" w:rsidR="009D4CF7" w:rsidRDefault="006F1A0E">
      <w:pPr>
        <w:pStyle w:val="ListParagraph"/>
        <w:numPr>
          <w:ilvl w:val="0"/>
          <w:numId w:val="2"/>
        </w:numPr>
        <w:spacing w:after="100"/>
      </w:pPr>
      <w:r>
        <w:t>Recalculation of evacuation time assuming one exit route is unavailable (blocked, closed, or otherwise compromised) — a genuinely safe capacity figure has to hold even when the best-case exit configuration isn't available.</w:t>
      </w:r>
    </w:p>
    <w:p w14:paraId="017927B2" w14:textId="77777777" w:rsidR="009D4CF7" w:rsidRDefault="006F1A0E">
      <w:pPr>
        <w:pStyle w:val="ListParagraph"/>
        <w:numPr>
          <w:ilvl w:val="0"/>
          <w:numId w:val="2"/>
        </w:numPr>
        <w:spacing w:after="100"/>
      </w:pPr>
      <w:r>
        <w:t>Separate calculation for normal ingress flow rate, to prevent dangerous queuing or crush at entry points — an under-resourced entry process can create a crush risk before the event has even started.</w:t>
      </w:r>
    </w:p>
    <w:p w14:paraId="017927B3" w14:textId="77777777" w:rsidR="009D4CF7" w:rsidRDefault="006F1A0E">
      <w:pPr>
        <w:pBdr>
          <w:left w:val="single" w:sz="12" w:space="8" w:color="C89B3C"/>
        </w:pBdr>
        <w:shd w:val="clear" w:color="auto" w:fill="F7F8FA"/>
        <w:spacing w:before="120" w:after="200"/>
      </w:pPr>
      <w:r>
        <w:rPr>
          <w:b/>
          <w:bCs/>
          <w:i/>
          <w:iCs/>
          <w:color w:val="0A1628"/>
          <w:sz w:val="20"/>
          <w:szCs w:val="20"/>
        </w:rPr>
        <w:t xml:space="preserve">Worked Example: </w:t>
      </w:r>
      <w:r>
        <w:rPr>
          <w:i/>
          <w:iCs/>
          <w:color w:val="4A5568"/>
          <w:sz w:val="20"/>
          <w:szCs w:val="20"/>
        </w:rPr>
        <w:t>A venue's evacuation time target assumed all four exits were available and functioning at full width. When the calculation was rerun assuming the largest single exit was unavailable — a reasonable worst-case scenario, since it was also the route closest to the venue's only loading bay — the evacuation time nearly doubled, revealing that the site's true safe capacity under a single-exit-failure scenario was significantly lower than the figure being used for ticketing.</w:t>
      </w:r>
    </w:p>
    <w:p w14:paraId="5120C9E6" w14:textId="77777777" w:rsidR="009F65D7" w:rsidRDefault="009F65D7">
      <w:pPr>
        <w:rPr>
          <w:b/>
          <w:bCs/>
          <w:color w:val="0A1628"/>
          <w:sz w:val="32"/>
          <w:szCs w:val="32"/>
        </w:rPr>
      </w:pPr>
      <w:r>
        <w:rPr>
          <w:b/>
          <w:bCs/>
          <w:color w:val="0A1628"/>
        </w:rPr>
        <w:br w:type="page"/>
      </w:r>
    </w:p>
    <w:p w14:paraId="017927B4" w14:textId="2FC91B15" w:rsidR="009D4CF7" w:rsidRDefault="006F1A0E">
      <w:pPr>
        <w:pStyle w:val="Heading1"/>
        <w:spacing w:before="400" w:after="160"/>
      </w:pPr>
      <w:r>
        <w:rPr>
          <w:b/>
          <w:bCs/>
          <w:color w:val="0A1628"/>
        </w:rPr>
        <w:lastRenderedPageBreak/>
        <w:t>Section 5 — Queuing &amp; Holding Areas</w:t>
      </w:r>
    </w:p>
    <w:p w14:paraId="017927B5" w14:textId="77777777" w:rsidR="009D4CF7" w:rsidRDefault="006F1A0E">
      <w:pPr>
        <w:spacing w:after="160"/>
      </w:pPr>
      <w:r>
        <w:t>Queuing areas are often treated as a logistics problem rather than a safety one, but a poorly managed queue can reach dangerous densities well before anyone has entered the main event space.</w:t>
      </w:r>
    </w:p>
    <w:p w14:paraId="017927B6" w14:textId="77777777" w:rsidR="009D4CF7" w:rsidRDefault="006F1A0E">
      <w:pPr>
        <w:pStyle w:val="ListParagraph"/>
        <w:numPr>
          <w:ilvl w:val="0"/>
          <w:numId w:val="2"/>
        </w:numPr>
        <w:spacing w:after="100"/>
      </w:pPr>
      <w:r>
        <w:t>Maximum safe queue density and length before a holding/overflow area is required.</w:t>
      </w:r>
    </w:p>
    <w:p w14:paraId="017927B7" w14:textId="77777777" w:rsidR="009D4CF7" w:rsidRDefault="006F1A0E">
      <w:pPr>
        <w:pStyle w:val="ListParagraph"/>
        <w:numPr>
          <w:ilvl w:val="0"/>
          <w:numId w:val="2"/>
        </w:numPr>
        <w:spacing w:after="100"/>
      </w:pPr>
      <w:r>
        <w:t>Barrier and pen configuration for high-density queuing areas.</w:t>
      </w:r>
    </w:p>
    <w:p w14:paraId="017927B8" w14:textId="77777777" w:rsidR="009D4CF7" w:rsidRDefault="006F1A0E">
      <w:pPr>
        <w:pStyle w:val="ListParagraph"/>
        <w:numPr>
          <w:ilvl w:val="0"/>
          <w:numId w:val="2"/>
        </w:numPr>
        <w:spacing w:after="100"/>
      </w:pPr>
      <w:r>
        <w:t>Monitoring and stewarding ratios specific to queue management, separate from general crowd stewarding.</w:t>
      </w:r>
    </w:p>
    <w:p w14:paraId="017927B9" w14:textId="77777777" w:rsidR="009D4CF7" w:rsidRDefault="006F1A0E">
      <w:pPr>
        <w:pStyle w:val="ListParagraph"/>
        <w:numPr>
          <w:ilvl w:val="0"/>
          <w:numId w:val="2"/>
        </w:numPr>
        <w:spacing w:after="100"/>
      </w:pPr>
      <w:r>
        <w:t>Trigger points for pausing further admission when queuing areas reach capacity — defined in advance, so the decision to pause admission isn't made reactively once a queue is already unsafe.</w:t>
      </w:r>
    </w:p>
    <w:p w14:paraId="017927BA" w14:textId="77777777" w:rsidR="009D4CF7" w:rsidRDefault="006F1A0E">
      <w:pPr>
        <w:pBdr>
          <w:left w:val="single" w:sz="12" w:space="8" w:color="C89B3C"/>
        </w:pBdr>
        <w:shd w:val="clear" w:color="auto" w:fill="F7F8FA"/>
        <w:spacing w:before="120" w:after="200"/>
      </w:pPr>
      <w:r>
        <w:rPr>
          <w:b/>
          <w:bCs/>
          <w:i/>
          <w:iCs/>
          <w:color w:val="0A1628"/>
          <w:sz w:val="20"/>
          <w:szCs w:val="20"/>
        </w:rPr>
        <w:t xml:space="preserve">Worked Example: </w:t>
      </w:r>
      <w:r>
        <w:rPr>
          <w:i/>
          <w:iCs/>
          <w:color w:val="4A5568"/>
          <w:sz w:val="20"/>
          <w:szCs w:val="20"/>
        </w:rPr>
        <w:t>A venue with a single main entrance experienced a rapidly forming queue on a busy opening night, with density in the queue itself becoming a greater risk than anything inside the venue. A holding area with barriers, agreed in advance as part of the site plan, allowed stewards to safely manage overflow without the crush risk that had developed the previous year.</w:t>
      </w:r>
    </w:p>
    <w:p w14:paraId="5DC605C3" w14:textId="77777777" w:rsidR="009F65D7" w:rsidRDefault="009F65D7">
      <w:pPr>
        <w:rPr>
          <w:b/>
          <w:bCs/>
          <w:color w:val="0A1628"/>
          <w:sz w:val="32"/>
          <w:szCs w:val="32"/>
        </w:rPr>
      </w:pPr>
      <w:r>
        <w:rPr>
          <w:b/>
          <w:bCs/>
          <w:color w:val="0A1628"/>
        </w:rPr>
        <w:br w:type="page"/>
      </w:r>
    </w:p>
    <w:p w14:paraId="017927BB" w14:textId="71EE4B27" w:rsidR="009D4CF7" w:rsidRDefault="006F1A0E">
      <w:pPr>
        <w:pStyle w:val="Heading1"/>
        <w:spacing w:before="400" w:after="160"/>
      </w:pPr>
      <w:r>
        <w:rPr>
          <w:b/>
          <w:bCs/>
          <w:color w:val="0A1628"/>
        </w:rPr>
        <w:lastRenderedPageBreak/>
        <w:t>Section 6 — Ongoing Monitoring &amp; Trigger Thresholds</w:t>
      </w:r>
    </w:p>
    <w:p w14:paraId="017927BC" w14:textId="77777777" w:rsidR="009D4CF7" w:rsidRDefault="006F1A0E">
      <w:pPr>
        <w:spacing w:after="160"/>
      </w:pPr>
      <w:r>
        <w:t>Capacity calculated in advance is a planning figure — live monitoring against clear thresholds is what keeps the event safe on the day, since actual crowd behaviour rarely matches the plan exactly.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00"/>
        <w:gridCol w:w="4200"/>
        <w:gridCol w:w="3260"/>
      </w:tblGrid>
      <w:tr w:rsidR="009D4CF7" w14:paraId="017927C0" w14:textId="77777777">
        <w:tblPrEx>
          <w:tblCellMar>
            <w:top w:w="0" w:type="dxa"/>
            <w:bottom w:w="0" w:type="dxa"/>
          </w:tblCellMar>
        </w:tblPrEx>
        <w:trPr>
          <w:tblHeader/>
        </w:trPr>
        <w:tc>
          <w:tcPr>
            <w:tcW w:w="1900" w:type="dxa"/>
            <w:shd w:val="clear" w:color="auto" w:fill="0A1628"/>
            <w:tcMar>
              <w:top w:w="80" w:type="dxa"/>
              <w:left w:w="100" w:type="dxa"/>
              <w:bottom w:w="80" w:type="dxa"/>
              <w:right w:w="100" w:type="dxa"/>
            </w:tcMar>
          </w:tcPr>
          <w:p w14:paraId="017927BD" w14:textId="77777777" w:rsidR="009D4CF7" w:rsidRDefault="006F1A0E">
            <w:r>
              <w:rPr>
                <w:b/>
                <w:bCs/>
                <w:color w:val="FFFFFF"/>
                <w:sz w:val="19"/>
                <w:szCs w:val="19"/>
              </w:rPr>
              <w:t>Trigger Level</w:t>
            </w:r>
          </w:p>
        </w:tc>
        <w:tc>
          <w:tcPr>
            <w:tcW w:w="4200" w:type="dxa"/>
            <w:shd w:val="clear" w:color="auto" w:fill="0A1628"/>
            <w:tcMar>
              <w:top w:w="80" w:type="dxa"/>
              <w:left w:w="100" w:type="dxa"/>
              <w:bottom w:w="80" w:type="dxa"/>
              <w:right w:w="100" w:type="dxa"/>
            </w:tcMar>
          </w:tcPr>
          <w:p w14:paraId="017927BE" w14:textId="77777777" w:rsidR="009D4CF7" w:rsidRDefault="006F1A0E">
            <w:r>
              <w:rPr>
                <w:b/>
                <w:bCs/>
                <w:color w:val="FFFFFF"/>
                <w:sz w:val="19"/>
                <w:szCs w:val="19"/>
              </w:rPr>
              <w:t>Indicator</w:t>
            </w:r>
          </w:p>
        </w:tc>
        <w:tc>
          <w:tcPr>
            <w:tcW w:w="3260" w:type="dxa"/>
            <w:shd w:val="clear" w:color="auto" w:fill="0A1628"/>
            <w:tcMar>
              <w:top w:w="80" w:type="dxa"/>
              <w:left w:w="100" w:type="dxa"/>
              <w:bottom w:w="80" w:type="dxa"/>
              <w:right w:w="100" w:type="dxa"/>
            </w:tcMar>
          </w:tcPr>
          <w:p w14:paraId="017927BF" w14:textId="77777777" w:rsidR="009D4CF7" w:rsidRDefault="006F1A0E">
            <w:r>
              <w:rPr>
                <w:b/>
                <w:bCs/>
                <w:color w:val="FFFFFF"/>
                <w:sz w:val="19"/>
                <w:szCs w:val="19"/>
              </w:rPr>
              <w:t>Action</w:t>
            </w:r>
          </w:p>
        </w:tc>
      </w:tr>
      <w:tr w:rsidR="009D4CF7" w14:paraId="017927C4" w14:textId="77777777">
        <w:tblPrEx>
          <w:tblCellMar>
            <w:top w:w="0" w:type="dxa"/>
            <w:bottom w:w="0" w:type="dxa"/>
          </w:tblCellMar>
        </w:tblPrEx>
        <w:tc>
          <w:tcPr>
            <w:tcW w:w="1900" w:type="dxa"/>
            <w:tcMar>
              <w:top w:w="80" w:type="dxa"/>
              <w:left w:w="100" w:type="dxa"/>
              <w:bottom w:w="80" w:type="dxa"/>
              <w:right w:w="100" w:type="dxa"/>
            </w:tcMar>
          </w:tcPr>
          <w:p w14:paraId="017927C1" w14:textId="77777777" w:rsidR="009D4CF7" w:rsidRDefault="006F1A0E">
            <w:r>
              <w:rPr>
                <w:sz w:val="19"/>
                <w:szCs w:val="19"/>
              </w:rPr>
              <w:t>Amber</w:t>
            </w:r>
          </w:p>
        </w:tc>
        <w:tc>
          <w:tcPr>
            <w:tcW w:w="4200" w:type="dxa"/>
            <w:tcMar>
              <w:top w:w="80" w:type="dxa"/>
              <w:left w:w="100" w:type="dxa"/>
              <w:bottom w:w="80" w:type="dxa"/>
              <w:right w:w="100" w:type="dxa"/>
            </w:tcMar>
          </w:tcPr>
          <w:p w14:paraId="017927C2" w14:textId="77777777" w:rsidR="009D4CF7" w:rsidRDefault="006F1A0E">
            <w:r>
              <w:rPr>
                <w:sz w:val="19"/>
                <w:szCs w:val="19"/>
              </w:rPr>
              <w:t>Area reaching 80% of calculated capacity</w:t>
            </w:r>
          </w:p>
        </w:tc>
        <w:tc>
          <w:tcPr>
            <w:tcW w:w="3260" w:type="dxa"/>
            <w:tcMar>
              <w:top w:w="80" w:type="dxa"/>
              <w:left w:w="100" w:type="dxa"/>
              <w:bottom w:w="80" w:type="dxa"/>
              <w:right w:w="100" w:type="dxa"/>
            </w:tcMar>
          </w:tcPr>
          <w:p w14:paraId="017927C3" w14:textId="77777777" w:rsidR="009D4CF7" w:rsidRDefault="006F1A0E">
            <w:r>
              <w:rPr>
                <w:sz w:val="19"/>
                <w:szCs w:val="19"/>
              </w:rPr>
              <w:t>Increase monitoring frequency, prepare to pause ingress</w:t>
            </w:r>
          </w:p>
        </w:tc>
      </w:tr>
      <w:tr w:rsidR="009D4CF7" w14:paraId="017927C8" w14:textId="77777777">
        <w:tblPrEx>
          <w:tblCellMar>
            <w:top w:w="0" w:type="dxa"/>
            <w:bottom w:w="0" w:type="dxa"/>
          </w:tblCellMar>
        </w:tblPrEx>
        <w:tc>
          <w:tcPr>
            <w:tcW w:w="1900" w:type="dxa"/>
            <w:tcMar>
              <w:top w:w="80" w:type="dxa"/>
              <w:left w:w="100" w:type="dxa"/>
              <w:bottom w:w="80" w:type="dxa"/>
              <w:right w:w="100" w:type="dxa"/>
            </w:tcMar>
          </w:tcPr>
          <w:p w14:paraId="017927C5" w14:textId="77777777" w:rsidR="009D4CF7" w:rsidRDefault="006F1A0E">
            <w:r>
              <w:rPr>
                <w:sz w:val="19"/>
                <w:szCs w:val="19"/>
              </w:rPr>
              <w:t>Red</w:t>
            </w:r>
          </w:p>
        </w:tc>
        <w:tc>
          <w:tcPr>
            <w:tcW w:w="4200" w:type="dxa"/>
            <w:tcMar>
              <w:top w:w="80" w:type="dxa"/>
              <w:left w:w="100" w:type="dxa"/>
              <w:bottom w:w="80" w:type="dxa"/>
              <w:right w:w="100" w:type="dxa"/>
            </w:tcMar>
          </w:tcPr>
          <w:p w14:paraId="017927C6" w14:textId="77777777" w:rsidR="009D4CF7" w:rsidRDefault="006F1A0E">
            <w:r>
              <w:rPr>
                <w:sz w:val="19"/>
                <w:szCs w:val="19"/>
              </w:rPr>
              <w:t>Area at or exceeding calculated capacity</w:t>
            </w:r>
          </w:p>
        </w:tc>
        <w:tc>
          <w:tcPr>
            <w:tcW w:w="3260" w:type="dxa"/>
            <w:tcMar>
              <w:top w:w="80" w:type="dxa"/>
              <w:left w:w="100" w:type="dxa"/>
              <w:bottom w:w="80" w:type="dxa"/>
              <w:right w:w="100" w:type="dxa"/>
            </w:tcMar>
          </w:tcPr>
          <w:p w14:paraId="017927C7" w14:textId="77777777" w:rsidR="009D4CF7" w:rsidRDefault="006F1A0E">
            <w:r>
              <w:rPr>
                <w:sz w:val="19"/>
                <w:szCs w:val="19"/>
              </w:rPr>
              <w:t>Pause ingress immediately, activate crowd control plan</w:t>
            </w:r>
          </w:p>
        </w:tc>
      </w:tr>
      <w:tr w:rsidR="009D4CF7" w14:paraId="017927CC" w14:textId="77777777">
        <w:tblPrEx>
          <w:tblCellMar>
            <w:top w:w="0" w:type="dxa"/>
            <w:bottom w:w="0" w:type="dxa"/>
          </w:tblCellMar>
        </w:tblPrEx>
        <w:tc>
          <w:tcPr>
            <w:tcW w:w="1900" w:type="dxa"/>
            <w:tcMar>
              <w:top w:w="80" w:type="dxa"/>
              <w:left w:w="100" w:type="dxa"/>
              <w:bottom w:w="80" w:type="dxa"/>
              <w:right w:w="100" w:type="dxa"/>
            </w:tcMar>
          </w:tcPr>
          <w:p w14:paraId="017927C9" w14:textId="77777777" w:rsidR="009D4CF7" w:rsidRDefault="006F1A0E">
            <w:r>
              <w:rPr>
                <w:sz w:val="19"/>
                <w:szCs w:val="19"/>
              </w:rPr>
              <w:t>Critical</w:t>
            </w:r>
          </w:p>
        </w:tc>
        <w:tc>
          <w:tcPr>
            <w:tcW w:w="4200" w:type="dxa"/>
            <w:tcMar>
              <w:top w:w="80" w:type="dxa"/>
              <w:left w:w="100" w:type="dxa"/>
              <w:bottom w:w="80" w:type="dxa"/>
              <w:right w:w="100" w:type="dxa"/>
            </w:tcMar>
          </w:tcPr>
          <w:p w14:paraId="017927CA" w14:textId="77777777" w:rsidR="009D4CF7" w:rsidRDefault="006F1A0E">
            <w:r>
              <w:rPr>
                <w:sz w:val="19"/>
                <w:szCs w:val="19"/>
              </w:rPr>
              <w:t>Signs of crowd crush, surge, or restricted movement</w:t>
            </w:r>
          </w:p>
        </w:tc>
        <w:tc>
          <w:tcPr>
            <w:tcW w:w="3260" w:type="dxa"/>
            <w:tcMar>
              <w:top w:w="80" w:type="dxa"/>
              <w:left w:w="100" w:type="dxa"/>
              <w:bottom w:w="80" w:type="dxa"/>
              <w:right w:w="100" w:type="dxa"/>
            </w:tcMar>
          </w:tcPr>
          <w:p w14:paraId="017927CB" w14:textId="77777777" w:rsidR="009D4CF7" w:rsidRDefault="006F1A0E">
            <w:r>
              <w:rPr>
                <w:sz w:val="19"/>
                <w:szCs w:val="19"/>
              </w:rPr>
              <w:t>Activate emergency response and evacuation procedures</w:t>
            </w:r>
          </w:p>
        </w:tc>
      </w:tr>
    </w:tbl>
    <w:p w14:paraId="017927CD" w14:textId="77777777" w:rsidR="009D4CF7" w:rsidRDefault="009D4CF7">
      <w:pPr>
        <w:spacing w:after="160"/>
      </w:pPr>
    </w:p>
    <w:p w14:paraId="017927CE" w14:textId="77777777" w:rsidR="009D4CF7" w:rsidRDefault="006F1A0E">
      <w:pPr>
        <w:pStyle w:val="ListParagraph"/>
        <w:numPr>
          <w:ilvl w:val="0"/>
          <w:numId w:val="2"/>
        </w:numPr>
        <w:spacing w:after="100"/>
      </w:pPr>
      <w:r>
        <w:t>Method of real-time monitoring — CCTV counting, stewarded clickers, ticket scan data, drone/aerial observation for larger sites.</w:t>
      </w:r>
    </w:p>
    <w:p w14:paraId="017927CF" w14:textId="77777777" w:rsidR="009D4CF7" w:rsidRDefault="006F1A0E">
      <w:pPr>
        <w:pStyle w:val="ListParagraph"/>
        <w:numPr>
          <w:ilvl w:val="0"/>
          <w:numId w:val="2"/>
        </w:numPr>
        <w:spacing w:after="100"/>
      </w:pPr>
      <w:r>
        <w:t>Named role responsible for capacity monitoring and authority to pause ingress — without a named individual with clear authority, a pause decision can be delayed by uncertainty over who is empowered to make the call.</w:t>
      </w:r>
    </w:p>
    <w:p w14:paraId="017927D0" w14:textId="77777777" w:rsidR="009D4CF7" w:rsidRDefault="006F1A0E">
      <w:pPr>
        <w:pStyle w:val="ListParagraph"/>
        <w:numPr>
          <w:ilvl w:val="0"/>
          <w:numId w:val="2"/>
        </w:numPr>
        <w:spacing w:after="100"/>
      </w:pPr>
      <w:r>
        <w:t>Communication protocol for triggering and standing down each threshold level.</w:t>
      </w:r>
    </w:p>
    <w:p w14:paraId="017927D1" w14:textId="77777777" w:rsidR="009D4CF7" w:rsidRDefault="006F1A0E">
      <w:pPr>
        <w:pBdr>
          <w:left w:val="single" w:sz="12" w:space="8" w:color="C89B3C"/>
        </w:pBdr>
        <w:shd w:val="clear" w:color="auto" w:fill="F7F8FA"/>
        <w:spacing w:before="120" w:after="200"/>
      </w:pPr>
      <w:r>
        <w:rPr>
          <w:b/>
          <w:bCs/>
          <w:i/>
          <w:iCs/>
          <w:color w:val="0A1628"/>
          <w:sz w:val="20"/>
          <w:szCs w:val="20"/>
        </w:rPr>
        <w:t xml:space="preserve">Worked Example: </w:t>
      </w:r>
      <w:r>
        <w:rPr>
          <w:i/>
          <w:iCs/>
          <w:color w:val="4A5568"/>
          <w:sz w:val="20"/>
          <w:szCs w:val="20"/>
        </w:rPr>
        <w:t>At a large outdoor event, ticket scan data showed the main arena approaching its Amber threshold, but there was no clear process for translating that data into an action on the ground. The following event introduced a named capacity controller with direct radio access to entry stewards and explicit authority to pause admission the moment Amber was reached, without needing further sign-off.</w:t>
      </w:r>
    </w:p>
    <w:p w14:paraId="45DBD528" w14:textId="77777777" w:rsidR="009F65D7" w:rsidRDefault="009F65D7">
      <w:pPr>
        <w:rPr>
          <w:b/>
          <w:bCs/>
          <w:color w:val="0A1628"/>
          <w:sz w:val="32"/>
          <w:szCs w:val="32"/>
        </w:rPr>
      </w:pPr>
      <w:r>
        <w:rPr>
          <w:b/>
          <w:bCs/>
          <w:color w:val="0A1628"/>
        </w:rPr>
        <w:br w:type="page"/>
      </w:r>
    </w:p>
    <w:p w14:paraId="017927D2" w14:textId="10D7E794" w:rsidR="009D4CF7" w:rsidRDefault="006F1A0E">
      <w:pPr>
        <w:pStyle w:val="Heading1"/>
        <w:spacing w:before="400" w:after="160"/>
      </w:pPr>
      <w:r>
        <w:rPr>
          <w:b/>
          <w:bCs/>
          <w:color w:val="0A1628"/>
        </w:rPr>
        <w:lastRenderedPageBreak/>
        <w:t>Section 7 — Documentation &amp; Regulatory Submission</w:t>
      </w:r>
    </w:p>
    <w:p w14:paraId="017927D3" w14:textId="77777777" w:rsidR="009D4CF7" w:rsidRDefault="006F1A0E">
      <w:pPr>
        <w:shd w:val="clear" w:color="auto" w:fill="F7F8FA"/>
        <w:spacing w:after="160"/>
      </w:pPr>
      <w:r>
        <w:rPr>
          <w:b/>
          <w:bCs/>
          <w:i/>
          <w:iCs/>
          <w:color w:val="4A5568"/>
          <w:sz w:val="20"/>
          <w:szCs w:val="20"/>
        </w:rPr>
        <w:t>⚑</w:t>
      </w:r>
      <w:r>
        <w:rPr>
          <w:b/>
          <w:bCs/>
          <w:i/>
          <w:iCs/>
          <w:color w:val="4A5568"/>
          <w:sz w:val="20"/>
          <w:szCs w:val="20"/>
        </w:rPr>
        <w:t xml:space="preserve"> Legal/Regulatory Review Required — capacity figures submitted to a licensing authority must meet local requirements, which take precedence over the illustrative figures in this framework.</w:t>
      </w:r>
    </w:p>
    <w:p w14:paraId="017927D4" w14:textId="77777777" w:rsidR="009D4CF7" w:rsidRDefault="006F1A0E">
      <w:pPr>
        <w:pStyle w:val="ListParagraph"/>
        <w:numPr>
          <w:ilvl w:val="0"/>
          <w:numId w:val="2"/>
        </w:numPr>
        <w:spacing w:after="100"/>
      </w:pPr>
      <w:r>
        <w:t>Full written methodology showing how the final capacity figure was calculated, not just the resulting number.</w:t>
      </w:r>
    </w:p>
    <w:p w14:paraId="017927D5" w14:textId="77777777" w:rsidR="009D4CF7" w:rsidRDefault="006F1A0E">
      <w:pPr>
        <w:pStyle w:val="ListParagraph"/>
        <w:numPr>
          <w:ilvl w:val="0"/>
          <w:numId w:val="2"/>
        </w:numPr>
        <w:spacing w:after="100"/>
      </w:pPr>
      <w:r>
        <w:t>Site plan with area measurements, exit widths, and obstruction locations marked.</w:t>
      </w:r>
    </w:p>
    <w:p w14:paraId="017927D6" w14:textId="77777777" w:rsidR="009D4CF7" w:rsidRDefault="006F1A0E">
      <w:pPr>
        <w:pStyle w:val="ListParagraph"/>
        <w:numPr>
          <w:ilvl w:val="0"/>
          <w:numId w:val="2"/>
        </w:numPr>
        <w:spacing w:after="100"/>
      </w:pPr>
      <w:r>
        <w:t>Record of which guidance/standard the density and flow figures were drawn from.</w:t>
      </w:r>
    </w:p>
    <w:p w14:paraId="017927D7" w14:textId="77777777" w:rsidR="009D4CF7" w:rsidRDefault="006F1A0E">
      <w:pPr>
        <w:pStyle w:val="ListParagraph"/>
        <w:numPr>
          <w:ilvl w:val="0"/>
          <w:numId w:val="2"/>
        </w:numPr>
        <w:spacing w:after="100"/>
      </w:pPr>
      <w:r>
        <w:t>Version control and review date, especially where the site or event format changes year to year.</w:t>
      </w:r>
    </w:p>
    <w:p w14:paraId="017927D8" w14:textId="77777777" w:rsidR="009D4CF7" w:rsidRDefault="006F1A0E">
      <w:pPr>
        <w:pBdr>
          <w:left w:val="single" w:sz="12" w:space="8" w:color="C89B3C"/>
        </w:pBdr>
        <w:shd w:val="clear" w:color="auto" w:fill="F7F8FA"/>
        <w:spacing w:before="120" w:after="200"/>
      </w:pPr>
      <w:r>
        <w:rPr>
          <w:b/>
          <w:bCs/>
          <w:i/>
          <w:iCs/>
          <w:color w:val="0A1628"/>
          <w:sz w:val="20"/>
          <w:szCs w:val="20"/>
        </w:rPr>
        <w:t xml:space="preserve">Worked Example: </w:t>
      </w:r>
      <w:r>
        <w:rPr>
          <w:i/>
          <w:iCs/>
          <w:color w:val="4A5568"/>
          <w:sz w:val="20"/>
          <w:szCs w:val="20"/>
        </w:rPr>
        <w:t>During a licensing review, a venue was asked to justify its stated capacity figure and could only produce the final number, with no supporting methodology or site plan. The licensing authority required a full recalculation before renewing the licence. Maintaining a standing methodology document, updated each time the site or event format changes, avoids this delay at future renewals.</w:t>
      </w:r>
    </w:p>
    <w:p w14:paraId="017927D9" w14:textId="77777777" w:rsidR="009D4CF7" w:rsidRDefault="009D4CF7">
      <w:pPr>
        <w:pBdr>
          <w:top w:val="single" w:sz="6" w:space="8" w:color="C89B3C"/>
        </w:pBdr>
        <w:spacing w:before="400"/>
      </w:pPr>
    </w:p>
    <w:p w14:paraId="017927DA" w14:textId="77777777" w:rsidR="009D4CF7" w:rsidRDefault="006F1A0E">
      <w:pPr>
        <w:spacing w:before="300"/>
        <w:jc w:val="center"/>
      </w:pPr>
      <w:r>
        <w:rPr>
          <w:i/>
          <w:iCs/>
          <w:color w:val="4A5568"/>
          <w:sz w:val="18"/>
          <w:szCs w:val="18"/>
        </w:rPr>
        <w:t>© Ewings Consultancy Services — This framework is provided for guidance purposes and does not constitute legal or regulatory advice.</w:t>
      </w:r>
    </w:p>
    <w:sectPr w:rsidR="009D4CF7">
      <w:pgSz w:w="11906" w:h="16838"/>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B2FE3"/>
    <w:multiLevelType w:val="hybridMultilevel"/>
    <w:tmpl w:val="BAA85DB8"/>
    <w:lvl w:ilvl="0" w:tplc="BB4A7CE4">
      <w:start w:val="1"/>
      <w:numFmt w:val="bullet"/>
      <w:lvlText w:val="●"/>
      <w:lvlJc w:val="left"/>
      <w:pPr>
        <w:ind w:left="720" w:hanging="360"/>
      </w:pPr>
    </w:lvl>
    <w:lvl w:ilvl="1" w:tplc="BE48635C">
      <w:start w:val="1"/>
      <w:numFmt w:val="bullet"/>
      <w:lvlText w:val="○"/>
      <w:lvlJc w:val="left"/>
      <w:pPr>
        <w:ind w:left="1440" w:hanging="360"/>
      </w:pPr>
    </w:lvl>
    <w:lvl w:ilvl="2" w:tplc="5E6858A8">
      <w:start w:val="1"/>
      <w:numFmt w:val="bullet"/>
      <w:lvlText w:val="■"/>
      <w:lvlJc w:val="left"/>
      <w:pPr>
        <w:ind w:left="2160" w:hanging="360"/>
      </w:pPr>
    </w:lvl>
    <w:lvl w:ilvl="3" w:tplc="B0C26FAE">
      <w:start w:val="1"/>
      <w:numFmt w:val="bullet"/>
      <w:lvlText w:val="●"/>
      <w:lvlJc w:val="left"/>
      <w:pPr>
        <w:ind w:left="2880" w:hanging="360"/>
      </w:pPr>
    </w:lvl>
    <w:lvl w:ilvl="4" w:tplc="C98A54AA">
      <w:start w:val="1"/>
      <w:numFmt w:val="bullet"/>
      <w:lvlText w:val="○"/>
      <w:lvlJc w:val="left"/>
      <w:pPr>
        <w:ind w:left="3600" w:hanging="360"/>
      </w:pPr>
    </w:lvl>
    <w:lvl w:ilvl="5" w:tplc="966075B8">
      <w:start w:val="1"/>
      <w:numFmt w:val="bullet"/>
      <w:lvlText w:val="■"/>
      <w:lvlJc w:val="left"/>
      <w:pPr>
        <w:ind w:left="4320" w:hanging="360"/>
      </w:pPr>
    </w:lvl>
    <w:lvl w:ilvl="6" w:tplc="AE1A9B8A">
      <w:start w:val="1"/>
      <w:numFmt w:val="bullet"/>
      <w:lvlText w:val="●"/>
      <w:lvlJc w:val="left"/>
      <w:pPr>
        <w:ind w:left="5040" w:hanging="360"/>
      </w:pPr>
    </w:lvl>
    <w:lvl w:ilvl="7" w:tplc="84CE7282">
      <w:start w:val="1"/>
      <w:numFmt w:val="bullet"/>
      <w:lvlText w:val="●"/>
      <w:lvlJc w:val="left"/>
      <w:pPr>
        <w:ind w:left="5760" w:hanging="360"/>
      </w:pPr>
    </w:lvl>
    <w:lvl w:ilvl="8" w:tplc="7AE66650">
      <w:start w:val="1"/>
      <w:numFmt w:val="bullet"/>
      <w:lvlText w:val="●"/>
      <w:lvlJc w:val="left"/>
      <w:pPr>
        <w:ind w:left="6480" w:hanging="360"/>
      </w:pPr>
    </w:lvl>
  </w:abstractNum>
  <w:abstractNum w:abstractNumId="1" w15:restartNumberingAfterBreak="0">
    <w:nsid w:val="6EE34D4F"/>
    <w:multiLevelType w:val="hybridMultilevel"/>
    <w:tmpl w:val="26562CAA"/>
    <w:lvl w:ilvl="0" w:tplc="B9A8F1F6">
      <w:start w:val="1"/>
      <w:numFmt w:val="bullet"/>
      <w:lvlText w:val="•"/>
      <w:lvlJc w:val="left"/>
      <w:pPr>
        <w:ind w:left="504" w:hanging="288"/>
      </w:pPr>
    </w:lvl>
    <w:lvl w:ilvl="1" w:tplc="FF28403E">
      <w:numFmt w:val="decimal"/>
      <w:lvlText w:val=""/>
      <w:lvlJc w:val="left"/>
    </w:lvl>
    <w:lvl w:ilvl="2" w:tplc="F610603A">
      <w:numFmt w:val="decimal"/>
      <w:lvlText w:val=""/>
      <w:lvlJc w:val="left"/>
    </w:lvl>
    <w:lvl w:ilvl="3" w:tplc="1424FBBC">
      <w:numFmt w:val="decimal"/>
      <w:lvlText w:val=""/>
      <w:lvlJc w:val="left"/>
    </w:lvl>
    <w:lvl w:ilvl="4" w:tplc="01C2B4B8">
      <w:numFmt w:val="decimal"/>
      <w:lvlText w:val=""/>
      <w:lvlJc w:val="left"/>
    </w:lvl>
    <w:lvl w:ilvl="5" w:tplc="67161948">
      <w:numFmt w:val="decimal"/>
      <w:lvlText w:val=""/>
      <w:lvlJc w:val="left"/>
    </w:lvl>
    <w:lvl w:ilvl="6" w:tplc="49886F8A">
      <w:numFmt w:val="decimal"/>
      <w:lvlText w:val=""/>
      <w:lvlJc w:val="left"/>
    </w:lvl>
    <w:lvl w:ilvl="7" w:tplc="8C6816A0">
      <w:numFmt w:val="decimal"/>
      <w:lvlText w:val=""/>
      <w:lvlJc w:val="left"/>
    </w:lvl>
    <w:lvl w:ilvl="8" w:tplc="805CD83E">
      <w:numFmt w:val="decimal"/>
      <w:lvlText w:val=""/>
      <w:lvlJc w:val="left"/>
    </w:lvl>
  </w:abstractNum>
  <w:num w:numId="1" w16cid:durableId="699359452">
    <w:abstractNumId w:val="0"/>
    <w:lvlOverride w:ilvl="0">
      <w:startOverride w:val="1"/>
    </w:lvlOverride>
  </w:num>
  <w:num w:numId="2" w16cid:durableId="126329549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4CF7"/>
    <w:rsid w:val="006F1A0E"/>
    <w:rsid w:val="008761D0"/>
    <w:rsid w:val="008C617B"/>
    <w:rsid w:val="009D4CF7"/>
    <w:rsid w:val="009F65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92777"/>
  <w15:docId w15:val="{E4AD9537-2D9E-4C93-BA5A-399F2CC8F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1740</Words>
  <Characters>9814</Characters>
  <Application>Microsoft Office Word</Application>
  <DocSecurity>0</DocSecurity>
  <Lines>169</Lines>
  <Paragraphs>101</Paragraphs>
  <ScaleCrop>false</ScaleCrop>
  <Company/>
  <LinksUpToDate>false</LinksUpToDate>
  <CharactersWithSpaces>11453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Andrew Ewings</cp:lastModifiedBy>
  <cp:revision>4</cp:revision>
  <dcterms:created xsi:type="dcterms:W3CDTF">2026-07-15T02:00:00Z</dcterms:created>
  <dcterms:modified xsi:type="dcterms:W3CDTF">2026-07-23T09:15:00Z</dcterms:modified>
</cp:coreProperties>
</file>